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6F2765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F276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F276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F2765">
        <w:rPr>
          <w:rFonts w:ascii="Times New Roman" w:hAnsi="Times New Roman" w:cs="Times New Roman"/>
          <w:sz w:val="24"/>
          <w:szCs w:val="24"/>
          <w:lang w:val="bg-BG"/>
        </w:rPr>
        <w:t>2:3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A4237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 на територията на област Стара Загора.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6F2765" w:rsidRDefault="006F276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2765" w:rsidRDefault="006F2765" w:rsidP="006F276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>. Определяне броя, функциите и персоналния състав на техническите сътрудници за подпомагане работата на РИК в деня на изборите.</w:t>
      </w:r>
    </w:p>
    <w:p w:rsidR="006F2765" w:rsidRDefault="006F2765" w:rsidP="006F276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6F2765" w:rsidRPr="00EE6D55" w:rsidRDefault="006F276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6F276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E6D55" w:rsidRPr="00EE6D55">
        <w:rPr>
          <w:rFonts w:ascii="Times New Roman" w:hAnsi="Times New Roman" w:cs="Times New Roman"/>
          <w:sz w:val="24"/>
          <w:szCs w:val="24"/>
          <w:lang w:val="bg-BG"/>
        </w:rPr>
        <w:t>. Публикуване на  представители на ПП/КП в изборите за членове на Европейския парламент от Република България за народни представители на 9 юни 2024 г.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6F276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EE6D55" w:rsidRPr="00EE6D55">
        <w:rPr>
          <w:rFonts w:ascii="Times New Roman" w:hAnsi="Times New Roman" w:cs="Times New Roman"/>
          <w:sz w:val="24"/>
          <w:szCs w:val="24"/>
          <w:lang w:val="bg-BG"/>
        </w:rPr>
        <w:t>.Регистрация на застъпници на кандидатски листа на  ПП/КП в изборите за членове на Европейския парламент от Република България за народни представители на 9 юни 2024 г.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6F276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EE6D55" w:rsidRPr="00EE6D55">
        <w:rPr>
          <w:rFonts w:ascii="Times New Roman" w:hAnsi="Times New Roman" w:cs="Times New Roman"/>
          <w:sz w:val="24"/>
          <w:szCs w:val="24"/>
          <w:lang w:val="bg-BG"/>
        </w:rPr>
        <w:t>.Разни.</w:t>
      </w: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Бехчет Халид - секретар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Левент </w:t>
      </w:r>
      <w:proofErr w:type="spellStart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Байрамов</w:t>
      </w:r>
      <w:proofErr w:type="spellEnd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Палов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EE6D55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6D3EF6" w:rsidRDefault="006D3EF6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C1BA8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="0069431A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69431A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69431A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69431A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69431A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69431A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69431A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69431A" w:rsidRDefault="0069431A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42379" w:rsidRPr="00A42379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област Стара Загора</w:t>
      </w:r>
      <w:r w:rsidR="00785A6A" w:rsidRPr="00785A6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D5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B4D5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B4D53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Pr="002B4D53">
        <w:rPr>
          <w:rFonts w:ascii="Times New Roman" w:hAnsi="Times New Roman" w:cs="Times New Roman"/>
          <w:b/>
          <w:sz w:val="28"/>
          <w:szCs w:val="28"/>
        </w:rPr>
        <w:t>3</w:t>
      </w:r>
      <w:r w:rsidRPr="002B4D53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Pr="002B4D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B4D53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B4D53">
        <w:rPr>
          <w:rFonts w:ascii="Times New Roman" w:hAnsi="Times New Roman" w:cs="Times New Roman"/>
          <w:b/>
          <w:sz w:val="28"/>
          <w:szCs w:val="28"/>
        </w:rPr>
        <w:t>НС</w:t>
      </w: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B4D53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2B4D5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B4D53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2B4D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D53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2B4D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4D53">
        <w:rPr>
          <w:rFonts w:ascii="Times New Roman" w:hAnsi="Times New Roman" w:cs="Times New Roman"/>
          <w:b/>
          <w:sz w:val="24"/>
          <w:szCs w:val="24"/>
          <w:lang w:val="bg-BG"/>
        </w:rPr>
        <w:t>07.06.2024</w:t>
      </w:r>
      <w:r w:rsidRPr="002B4D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4D53" w:rsidRPr="002B4D53" w:rsidRDefault="002B4D53" w:rsidP="002B4D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област Стара Загора.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4D53" w:rsidRPr="002B4D53" w:rsidRDefault="002B4D53" w:rsidP="002B4D53">
      <w:pPr>
        <w:spacing w:line="240" w:lineRule="auto"/>
        <w:ind w:firstLine="567"/>
        <w:rPr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партии и коалиции за промени в съставите на СИК на територията на област Стара Загора от съответната квота, както и списъци на предложените промени на хартиен и на технически носител з</w:t>
      </w:r>
      <w:r w:rsidRPr="002B4D53">
        <w:rPr>
          <w:sz w:val="24"/>
          <w:szCs w:val="24"/>
          <w:lang w:val="bg-BG"/>
        </w:rPr>
        <w:t xml:space="preserve">а територията на област </w:t>
      </w:r>
      <w:r w:rsidRPr="002B4D53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2B4D5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4D53" w:rsidRPr="002B4D53" w:rsidRDefault="002B4D53" w:rsidP="002B4D5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съответните партии и коалиции председатели, зам.-председатели, секретари и членове на СИК на територията на област Стара Загора.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Да се анулират издадените удостоверения на председатели, зам.-председатели, секретари и членове на СИК, които са заменени. 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EE6D55" w:rsidRPr="00EE6D55" w:rsidRDefault="00EE6D55" w:rsidP="00EE6D55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823485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823485" w:rsidRDefault="00823485" w:rsidP="00A42379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23485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2B52C4" w:rsidRDefault="002B52C4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B4D53" w:rsidRDefault="002B4D53" w:rsidP="002B4D53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втора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2B4D53" w:rsidRPr="003912D8" w:rsidRDefault="002B4D53" w:rsidP="002B4D5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о</w:t>
      </w: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</w:t>
      </w:r>
      <w:r w:rsidRPr="003912D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B4D53" w:rsidRDefault="002B4D53" w:rsidP="002B4D53">
      <w:pPr>
        <w:ind w:firstLine="0"/>
        <w:rPr>
          <w:rFonts w:ascii="Times New Roman" w:hAnsi="Times New Roman"/>
          <w:b/>
          <w:sz w:val="32"/>
          <w:szCs w:val="32"/>
          <w:lang w:val="bg-BG"/>
        </w:rPr>
      </w:pPr>
    </w:p>
    <w:p w:rsidR="002B4D53" w:rsidRPr="002B4D53" w:rsidRDefault="002B4D53" w:rsidP="002B4D5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B4D53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B4D53" w:rsidRPr="002B4D53" w:rsidRDefault="002B4D53" w:rsidP="002B4D5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B4D53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2B4D53">
        <w:rPr>
          <w:rFonts w:ascii="Times New Roman" w:hAnsi="Times New Roman"/>
          <w:b/>
          <w:sz w:val="28"/>
          <w:szCs w:val="28"/>
        </w:rPr>
        <w:t>13</w:t>
      </w:r>
      <w:r w:rsidRPr="002B4D53">
        <w:rPr>
          <w:rFonts w:ascii="Times New Roman" w:hAnsi="Times New Roman"/>
          <w:b/>
          <w:sz w:val="28"/>
          <w:szCs w:val="28"/>
          <w:lang w:val="bg-BG"/>
        </w:rPr>
        <w:t>6 – ЕП/НС</w:t>
      </w: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07.06.2024 г.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2B4D53" w:rsidRPr="002B4D53" w:rsidRDefault="002B4D53" w:rsidP="002B4D5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Определяне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</w:t>
      </w:r>
      <w:r w:rsidRPr="002B4D5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основание на чл. 70, ал.4 от ИК, РИК Стара Загора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 </w:t>
      </w:r>
    </w:p>
    <w:p w:rsidR="002B4D53" w:rsidRPr="002B4D53" w:rsidRDefault="002B4D53" w:rsidP="002B4D53">
      <w:pPr>
        <w:spacing w:line="240" w:lineRule="auto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bg-BG" w:eastAsia="en-US"/>
        </w:rPr>
        <w:t>Р Е Ш И :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 </w:t>
      </w:r>
    </w:p>
    <w:p w:rsidR="00013875" w:rsidRPr="00A93C0E" w:rsidRDefault="002B4D53" w:rsidP="0001387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B4D53">
        <w:rPr>
          <w:rFonts w:ascii="Times New Roman" w:eastAsiaTheme="minorHAnsi" w:hAnsi="Times New Roman"/>
          <w:sz w:val="24"/>
          <w:szCs w:val="24"/>
        </w:rPr>
        <w:t xml:space="preserve">За подпомагане на работата на РИК Стара Загора при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</w:t>
      </w:r>
      <w:r w:rsidR="00013875">
        <w:rPr>
          <w:rFonts w:ascii="Times New Roman" w:hAnsi="Times New Roman"/>
          <w:sz w:val="24"/>
          <w:szCs w:val="24"/>
        </w:rPr>
        <w:t>при</w:t>
      </w:r>
      <w:r w:rsidR="00013875" w:rsidRPr="00A93C0E">
        <w:rPr>
          <w:rFonts w:ascii="Times New Roman" w:hAnsi="Times New Roman"/>
          <w:sz w:val="24"/>
          <w:szCs w:val="24"/>
        </w:rPr>
        <w:t xml:space="preserve"> произвеждането на </w:t>
      </w:r>
      <w:r w:rsidR="00013875" w:rsidRPr="001D2DC6">
        <w:rPr>
          <w:rFonts w:ascii="Times New Roman" w:eastAsia="Calibri" w:hAnsi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</w:t>
      </w:r>
      <w:r w:rsidR="00013875" w:rsidRPr="00A93C0E">
        <w:rPr>
          <w:rFonts w:ascii="Times New Roman" w:hAnsi="Times New Roman"/>
          <w:sz w:val="24"/>
          <w:szCs w:val="24"/>
        </w:rPr>
        <w:t xml:space="preserve"> да бъд</w:t>
      </w:r>
      <w:r w:rsidR="00013875">
        <w:rPr>
          <w:rFonts w:ascii="Times New Roman" w:hAnsi="Times New Roman"/>
          <w:sz w:val="24"/>
          <w:szCs w:val="24"/>
        </w:rPr>
        <w:t>ат сключени граждански договори</w:t>
      </w:r>
      <w:r w:rsidR="00013875" w:rsidRPr="00A93C0E">
        <w:rPr>
          <w:rFonts w:ascii="Times New Roman" w:hAnsi="Times New Roman"/>
          <w:sz w:val="24"/>
          <w:szCs w:val="24"/>
        </w:rPr>
        <w:t xml:space="preserve"> от Областния управител на Област Стара Загора с:</w:t>
      </w:r>
    </w:p>
    <w:p w:rsidR="002B4D53" w:rsidRPr="002B4D53" w:rsidRDefault="002B4D53" w:rsidP="002B4D53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 /двама/ технически сътрудници, които да изпълняват следните функции: подпомагане на работата на РИК Стара Загора при приемането на протоколите от СИК след изборния ден и подготовката за предаването на книжата в ЦИК. Лицата, които ще изпълняват функциите на технически сътрудник, е: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</w:p>
    <w:p w:rsidR="002B4D53" w:rsidRPr="002B4D53" w:rsidRDefault="002B4D53" w:rsidP="002B4D53">
      <w:pPr>
        <w:numPr>
          <w:ilvl w:val="0"/>
          <w:numId w:val="35"/>
        </w:numPr>
        <w:spacing w:after="160"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Христо Кънчев </w:t>
      </w:r>
      <w:proofErr w:type="spellStart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Христакиев</w:t>
      </w:r>
      <w:proofErr w:type="spellEnd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с ЕГН ***</w:t>
      </w:r>
    </w:p>
    <w:p w:rsidR="002B4D53" w:rsidRPr="002B4D53" w:rsidRDefault="002B4D53" w:rsidP="002B4D53">
      <w:pPr>
        <w:numPr>
          <w:ilvl w:val="0"/>
          <w:numId w:val="35"/>
        </w:numPr>
        <w:spacing w:after="160"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proofErr w:type="spellStart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Линх</w:t>
      </w:r>
      <w:proofErr w:type="spellEnd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proofErr w:type="spellStart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Тхуи</w:t>
      </w:r>
      <w:proofErr w:type="spellEnd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proofErr w:type="spellStart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Тхи</w:t>
      </w:r>
      <w:proofErr w:type="spellEnd"/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Нгуен с ЕГН ***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  <w:t> </w:t>
      </w:r>
    </w:p>
    <w:p w:rsidR="002B4D53" w:rsidRPr="002B4D53" w:rsidRDefault="002B4D53" w:rsidP="002B4D53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Срокът на договора с техническите сътрудници да бъде от 09.06.2024г. до 10.06.2024г., и с възнаграждение в размер на 300,00 лв..</w:t>
      </w:r>
    </w:p>
    <w:p w:rsidR="002B4D53" w:rsidRPr="002B4D53" w:rsidRDefault="002B4D53" w:rsidP="002B4D53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Препис от настоящото решение да се изпрати на Областния управител на Област Стара Загора.</w:t>
      </w:r>
    </w:p>
    <w:p w:rsidR="002B4D53" w:rsidRDefault="002B4D53" w:rsidP="002B4D53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2B4D5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lastRenderedPageBreak/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2B4D53" w:rsidRDefault="002B4D53" w:rsidP="002B4D53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2B4D53" w:rsidRDefault="002B4D53" w:rsidP="002B4D5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2B4D53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2B4D53" w:rsidRDefault="002B4D53" w:rsidP="002B4D53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B4D53" w:rsidRDefault="002B4D53" w:rsidP="002B4D53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5A6A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2B4D53"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4D53" w:rsidRPr="002B4D53" w:rsidRDefault="002B52C4" w:rsidP="002B4D53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2B4D53" w:rsidRPr="002B4D53">
        <w:rPr>
          <w:rFonts w:ascii="Times New Roman" w:hAnsi="Times New Roman" w:cs="Times New Roman"/>
          <w:sz w:val="24"/>
          <w:szCs w:val="24"/>
          <w:lang w:val="bg-BG"/>
        </w:rPr>
        <w:t>упълномощени представители на коалиция „ГЕРБ-СДС“</w:t>
      </w:r>
      <w:r w:rsidR="002B4D53" w:rsidRPr="002B4D5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52C4" w:rsidRDefault="002B52C4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D5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B4D5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B4D53">
        <w:rPr>
          <w:rFonts w:ascii="Times New Roman" w:hAnsi="Times New Roman" w:cs="Times New Roman"/>
          <w:b/>
          <w:sz w:val="28"/>
          <w:szCs w:val="28"/>
          <w:lang w:val="bg-BG"/>
        </w:rPr>
        <w:t>137</w:t>
      </w:r>
      <w:r w:rsidRPr="002B4D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B4D53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B4D53">
        <w:rPr>
          <w:rFonts w:ascii="Times New Roman" w:hAnsi="Times New Roman" w:cs="Times New Roman"/>
          <w:b/>
          <w:sz w:val="28"/>
          <w:szCs w:val="28"/>
        </w:rPr>
        <w:t>НС</w:t>
      </w:r>
    </w:p>
    <w:p w:rsidR="002B4D53" w:rsidRPr="002B4D53" w:rsidRDefault="002B4D53" w:rsidP="002B4D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B4D53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2B4D5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B4D53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2B4D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D53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2B4D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4D53">
        <w:rPr>
          <w:rFonts w:ascii="Times New Roman" w:hAnsi="Times New Roman" w:cs="Times New Roman"/>
          <w:b/>
          <w:sz w:val="24"/>
          <w:szCs w:val="24"/>
          <w:lang w:val="bg-BG"/>
        </w:rPr>
        <w:t>07.06.2024</w:t>
      </w:r>
      <w:r w:rsidRPr="002B4D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4D53" w:rsidRPr="002B4D53" w:rsidRDefault="002B4D53" w:rsidP="002B4D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4D53" w:rsidRPr="002B4D53" w:rsidRDefault="002B4D53" w:rsidP="002B4D53">
      <w:pPr>
        <w:spacing w:line="240" w:lineRule="auto"/>
        <w:ind w:firstLine="567"/>
        <w:rPr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„ГЕРБ-СДС“</w:t>
      </w:r>
      <w:r w:rsidRPr="002B4D5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4D53" w:rsidRPr="002B4D53" w:rsidRDefault="002B4D53" w:rsidP="002B4D53">
      <w:pPr>
        <w:spacing w:line="240" w:lineRule="auto"/>
        <w:ind w:firstLine="567"/>
        <w:rPr>
          <w:sz w:val="24"/>
          <w:szCs w:val="24"/>
          <w:lang w:val="bg-BG"/>
        </w:rPr>
      </w:pPr>
      <w:r w:rsidRPr="002B4D53">
        <w:rPr>
          <w:sz w:val="24"/>
          <w:szCs w:val="24"/>
          <w:lang w:val="bg-BG"/>
        </w:rPr>
        <w:t>Постъпил е списък (Приложение №1 към решение №3375-ЕП/НС от 28 май 2024г.) на представители на коалиция „ГЕРБ-СДС“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2B4D53">
        <w:t xml:space="preserve"> </w:t>
      </w:r>
      <w:r w:rsidRPr="002B4D53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2B4D53" w:rsidRPr="002B4D53" w:rsidRDefault="002B4D53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4D53" w:rsidRPr="002B4D53" w:rsidRDefault="002B4D53" w:rsidP="002B4D5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B4D53" w:rsidRPr="002B4D53" w:rsidRDefault="002B4D53" w:rsidP="002B4D5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4D53" w:rsidRPr="002B4D53" w:rsidRDefault="002B4D53" w:rsidP="002B4D53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2 (два) бр. упълномощени представители на коалиция „ГЕРБ-СДС“ </w:t>
      </w:r>
      <w:r w:rsidRPr="002B4D53">
        <w:rPr>
          <w:sz w:val="24"/>
          <w:szCs w:val="24"/>
          <w:lang w:val="bg-BG"/>
        </w:rPr>
        <w:t>при провеждане на изборите за</w:t>
      </w:r>
      <w:r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2B4D53" w:rsidRPr="002B4D53" w:rsidRDefault="002B4D53" w:rsidP="002B4D53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4D53" w:rsidRDefault="002B4D53" w:rsidP="002B4D53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4D53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B52C4" w:rsidRPr="00652A9C" w:rsidRDefault="002B52C4" w:rsidP="002B4D53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CB261F" w:rsidRDefault="00CB261F" w:rsidP="00CB261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CB261F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CB261F" w:rsidRDefault="00CB261F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52A9C" w:rsidRDefault="00652A9C" w:rsidP="00096A3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Default="00096A3C" w:rsidP="00EF3758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EF3758" w:rsidRPr="00EF3758">
        <w:rPr>
          <w:rFonts w:ascii="Times New Roman" w:hAnsi="Times New Roman" w:cs="Times New Roman"/>
          <w:sz w:val="24"/>
          <w:szCs w:val="24"/>
          <w:lang w:val="bg-BG"/>
        </w:rPr>
        <w:t>упълномощени представители на коалиция „БСП ЗА БЪЛГАРИЯ“</w:t>
      </w:r>
      <w:r w:rsidR="00EF3758" w:rsidRPr="00EF37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5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F375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F3758">
        <w:rPr>
          <w:rFonts w:ascii="Times New Roman" w:hAnsi="Times New Roman" w:cs="Times New Roman"/>
          <w:b/>
          <w:sz w:val="28"/>
          <w:szCs w:val="28"/>
          <w:lang w:val="bg-BG"/>
        </w:rPr>
        <w:t>138</w:t>
      </w:r>
      <w:r w:rsidRPr="00EF37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F3758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EF3758">
        <w:rPr>
          <w:rFonts w:ascii="Times New Roman" w:hAnsi="Times New Roman" w:cs="Times New Roman"/>
          <w:b/>
          <w:sz w:val="28"/>
          <w:szCs w:val="28"/>
        </w:rPr>
        <w:t>НС</w:t>
      </w: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F3758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EF375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F3758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EF37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758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EF37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3758">
        <w:rPr>
          <w:rFonts w:ascii="Times New Roman" w:hAnsi="Times New Roman" w:cs="Times New Roman"/>
          <w:b/>
          <w:sz w:val="24"/>
          <w:szCs w:val="24"/>
          <w:lang w:val="bg-BG"/>
        </w:rPr>
        <w:t>07.06.2024</w:t>
      </w:r>
      <w:r w:rsidRPr="00EF37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3758" w:rsidRPr="00EF3758" w:rsidRDefault="00EF3758" w:rsidP="00EF3758">
      <w:pPr>
        <w:spacing w:line="240" w:lineRule="auto"/>
        <w:ind w:firstLine="567"/>
        <w:rPr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„БСП ЗА БЪЛГАРИЯ“</w:t>
      </w:r>
      <w:r w:rsidRPr="00EF37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F3758" w:rsidRP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3758" w:rsidRPr="00EF3758" w:rsidRDefault="00EF3758" w:rsidP="00EF3758">
      <w:pPr>
        <w:spacing w:line="240" w:lineRule="auto"/>
        <w:ind w:firstLine="567"/>
        <w:rPr>
          <w:sz w:val="24"/>
          <w:szCs w:val="24"/>
          <w:lang w:val="bg-BG"/>
        </w:rPr>
      </w:pPr>
      <w:r w:rsidRPr="00EF3758">
        <w:rPr>
          <w:sz w:val="24"/>
          <w:szCs w:val="24"/>
          <w:lang w:val="bg-BG"/>
        </w:rPr>
        <w:t>Постъпил е списък (Приложение №1 към решение №3375-ЕП/НС от 28 май 2024г.) на представители на коалиция „БСП ЗА БЪЛГАРИЯ“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EF3758" w:rsidRP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EF3758">
        <w:t xml:space="preserve"> 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EF3758" w:rsidRP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F3758" w:rsidRPr="00EF3758" w:rsidRDefault="00EF3758" w:rsidP="00EF375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F3758" w:rsidRPr="00EF3758" w:rsidRDefault="00EF3758" w:rsidP="00EF37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F3758" w:rsidRPr="00EF3758" w:rsidRDefault="00EF3758" w:rsidP="00EF37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>Публикува списък от 80 (осемдесет) бр. упълномощени представители на коалиция „</w:t>
      </w:r>
      <w:r w:rsidRPr="00EF3758">
        <w:rPr>
          <w:sz w:val="24"/>
          <w:szCs w:val="24"/>
          <w:lang w:val="bg-BG"/>
        </w:rPr>
        <w:t>БСП ЗА БЪЛГАРИЯ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EF3758">
        <w:rPr>
          <w:sz w:val="24"/>
          <w:szCs w:val="24"/>
          <w:lang w:val="bg-BG"/>
        </w:rPr>
        <w:t>при провеждане на изборите за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EF3758" w:rsidRPr="00EF3758" w:rsidRDefault="00EF3758" w:rsidP="00EF37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F3758" w:rsidRPr="00EF3758" w:rsidRDefault="00EF3758" w:rsidP="00EF37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B73D0" w:rsidRPr="00652A9C" w:rsidRDefault="00096A3C" w:rsidP="00652A9C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 </w:t>
      </w:r>
    </w:p>
    <w:p w:rsidR="00096A3C" w:rsidRDefault="00096A3C" w:rsidP="00096A3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096A3C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096A3C" w:rsidRDefault="00096A3C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5B73D0" w:rsidRPr="00513595" w:rsidRDefault="00096A3C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B73D0" w:rsidRPr="00DC4403" w:rsidRDefault="005B73D0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B73D0" w:rsidRPr="002B52C4" w:rsidRDefault="005B73D0" w:rsidP="0051359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EF3758" w:rsidRPr="00EF3758">
        <w:rPr>
          <w:rFonts w:ascii="Times New Roman" w:hAnsi="Times New Roman" w:cs="Times New Roman"/>
          <w:sz w:val="24"/>
          <w:szCs w:val="24"/>
          <w:lang w:val="bg-BG"/>
        </w:rPr>
        <w:t>упълномощени представители на ПП „ВЪЗРАЖДАНЕ“</w:t>
      </w:r>
      <w:r w:rsidR="00EF3758" w:rsidRPr="00EF37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513595" w:rsidRDefault="00513595" w:rsidP="00E9246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5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F375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F3758">
        <w:rPr>
          <w:rFonts w:ascii="Times New Roman" w:hAnsi="Times New Roman" w:cs="Times New Roman"/>
          <w:b/>
          <w:sz w:val="28"/>
          <w:szCs w:val="28"/>
          <w:lang w:val="bg-BG"/>
        </w:rPr>
        <w:t>139</w:t>
      </w:r>
      <w:r w:rsidRPr="00EF37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F3758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EF3758">
        <w:rPr>
          <w:rFonts w:ascii="Times New Roman" w:hAnsi="Times New Roman" w:cs="Times New Roman"/>
          <w:b/>
          <w:sz w:val="28"/>
          <w:szCs w:val="28"/>
        </w:rPr>
        <w:t>НС</w:t>
      </w: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F3758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EF375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F3758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EF37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758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EF37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3758">
        <w:rPr>
          <w:rFonts w:ascii="Times New Roman" w:hAnsi="Times New Roman" w:cs="Times New Roman"/>
          <w:b/>
          <w:sz w:val="24"/>
          <w:szCs w:val="24"/>
          <w:lang w:val="bg-BG"/>
        </w:rPr>
        <w:t>07.06.2024</w:t>
      </w:r>
      <w:r w:rsidRPr="00EF37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3758" w:rsidRPr="00EF3758" w:rsidRDefault="00EF3758" w:rsidP="00EF3758">
      <w:pPr>
        <w:spacing w:line="240" w:lineRule="auto"/>
        <w:ind w:firstLine="567"/>
        <w:rPr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ПП „ВЪЗРАЖДАНЕ</w:t>
      </w:r>
      <w:proofErr w:type="gramStart"/>
      <w:r w:rsidRPr="00EF3758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EF3758">
        <w:rPr>
          <w:sz w:val="24"/>
          <w:szCs w:val="24"/>
          <w:lang w:val="bg-BG"/>
        </w:rPr>
        <w:t xml:space="preserve"> в</w:t>
      </w:r>
      <w:proofErr w:type="gramEnd"/>
      <w:r w:rsidRPr="00EF3758">
        <w:rPr>
          <w:sz w:val="24"/>
          <w:szCs w:val="24"/>
          <w:lang w:val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EF3758" w:rsidRP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3758" w:rsidRPr="00EF3758" w:rsidRDefault="00EF3758" w:rsidP="00EF3758">
      <w:pPr>
        <w:spacing w:line="240" w:lineRule="auto"/>
        <w:ind w:firstLine="567"/>
        <w:rPr>
          <w:sz w:val="24"/>
          <w:szCs w:val="24"/>
          <w:lang w:val="bg-BG"/>
        </w:rPr>
      </w:pPr>
      <w:r w:rsidRPr="00EF3758">
        <w:rPr>
          <w:sz w:val="24"/>
          <w:szCs w:val="24"/>
          <w:lang w:val="bg-BG"/>
        </w:rPr>
        <w:lastRenderedPageBreak/>
        <w:t xml:space="preserve">Постъпил е списък (Приложение №1 към решение №3375-ЕП/НС от 28 май 2024г.) на представители на 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>ПП „ВЪЗРАЖДАНЕ“</w:t>
      </w:r>
      <w:r w:rsidRPr="00EF3758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EF3758" w:rsidRP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EF3758">
        <w:t xml:space="preserve"> 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EF3758" w:rsidRP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F3758" w:rsidRPr="00EF3758" w:rsidRDefault="00EF3758" w:rsidP="00EF375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F3758" w:rsidRPr="00EF3758" w:rsidRDefault="00EF3758" w:rsidP="00EF37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F3758" w:rsidRPr="00EF3758" w:rsidRDefault="00EF3758" w:rsidP="00EF37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3 (три) бр. упълномощени представители на ПП „ВЪЗРАЖДАНЕ“ </w:t>
      </w:r>
      <w:r w:rsidRPr="00EF3758">
        <w:rPr>
          <w:sz w:val="24"/>
          <w:szCs w:val="24"/>
          <w:lang w:val="bg-BG"/>
        </w:rPr>
        <w:t>при провеждане на изборите за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EF3758" w:rsidRPr="00EF3758" w:rsidRDefault="00EF3758" w:rsidP="00EF37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92461" w:rsidRPr="00E92461" w:rsidRDefault="00EF3758" w:rsidP="00EF3758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="00E92461" w:rsidRPr="00E924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B73D0" w:rsidRDefault="005B73D0" w:rsidP="005B73D0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Default="005B73D0" w:rsidP="005B73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4336E" w:rsidRDefault="0004336E" w:rsidP="005B73D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38F" w:rsidRDefault="005B73D0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5B73D0" w:rsidRDefault="005B73D0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5B73D0" w:rsidRDefault="005B73D0" w:rsidP="005B73D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462E90" w:rsidRDefault="00CA4CE0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 w:rsidR="00EF3758"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EF3758" w:rsidRPr="00EF3758" w:rsidRDefault="0004336E" w:rsidP="00EF375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A4CE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CA4CE0"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28757C"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</w:t>
      </w:r>
      <w:r w:rsidR="00EF3758" w:rsidRPr="00EF37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кандидатска листа на  КП „БСП ЗА БЪЛГАРИЯ“ в </w:t>
      </w:r>
      <w:r w:rsidR="00EF3758" w:rsidRPr="00EF375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8757C" w:rsidRPr="0004336E" w:rsidRDefault="0028757C" w:rsidP="0028757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F3758" w:rsidRPr="00EF3758" w:rsidRDefault="00EF3758" w:rsidP="00EF375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F375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EF3758" w:rsidRPr="00EF3758" w:rsidRDefault="00EF3758" w:rsidP="00EF375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F3758">
        <w:rPr>
          <w:rFonts w:ascii="Times New Roman" w:hAnsi="Times New Roman"/>
          <w:b/>
          <w:sz w:val="28"/>
          <w:szCs w:val="28"/>
          <w:lang w:val="bg-BG"/>
        </w:rPr>
        <w:t>№ 140 – ЕП/НС</w:t>
      </w:r>
    </w:p>
    <w:p w:rsidR="00EF3758" w:rsidRPr="00EF3758" w:rsidRDefault="00EF3758" w:rsidP="00EF375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F3758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07.06.2024 г.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3758" w:rsidRPr="00EF3758" w:rsidRDefault="00EF3758" w:rsidP="00EF375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КП „БСП ЗА БЪЛГАРИЯ“ в 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КП „БСП ЗА БЪЛГАРИЯ“  в </w:t>
      </w:r>
      <w:r w:rsidRPr="00EF3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На основание на чл. 70, ал. 4, чл. 72, ал. 1 т. 15, във връзка с чл. 117, ал. 1, 3 и 4 и чл. 118, ал. 2 от ИК, РИК Стара Загора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9 (девет) бр.  застъпници на кандидатска листа на КП „БСП ЗА БЪЛГАРИЯ“  в </w:t>
      </w:r>
      <w:r w:rsidRPr="00EF3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EF3758" w:rsidRPr="00EF3758" w:rsidRDefault="00EF3758" w:rsidP="00EF37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758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6F3896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6F3896" w:rsidRDefault="006F3896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Pr="00DC4403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F3896" w:rsidRDefault="006F3896" w:rsidP="001072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28757C"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</w:t>
      </w:r>
      <w:r w:rsidR="00107203" w:rsidRPr="0010720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кандидатска листа на  ПП „ДВИЖЕНИЕ ЗА ПРАВА И СВОБОДИ“ в </w:t>
      </w:r>
      <w:r w:rsidR="00107203" w:rsidRPr="0010720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107203" w:rsidRPr="00107203" w:rsidRDefault="00107203" w:rsidP="0010720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107203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7203" w:rsidRPr="00107203" w:rsidRDefault="00107203" w:rsidP="0010720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07203">
        <w:rPr>
          <w:rFonts w:ascii="Times New Roman" w:hAnsi="Times New Roman"/>
          <w:b/>
          <w:sz w:val="28"/>
          <w:szCs w:val="28"/>
          <w:lang w:val="bg-BG"/>
        </w:rPr>
        <w:t>№ 141 – ЕП</w:t>
      </w:r>
    </w:p>
    <w:p w:rsidR="00107203" w:rsidRPr="00107203" w:rsidRDefault="00107203" w:rsidP="0010720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0720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07.06.2024 г.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07203" w:rsidRPr="00107203" w:rsidRDefault="00107203" w:rsidP="001072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10720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№91-ЕП)  за регистрация на застъпници на кандидатска листа на ПП „ДВИЖЕНИЕ ЗА ПРАВА И СВОБОДИ“ в </w:t>
      </w:r>
      <w:r w:rsidRPr="00107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– 24 бр., от лицата, заявени за регистрация като застъпници в изборите за членове на Европейския парламент от Република България на 9 юни 2024 г., както и списък на хартиен и технически носител, съдържащ имената и ЕГН на заявените застъпници.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24 (двадесет и четири) бр.  застъпници на кандидатска листа на ПП „ДВИЖЕНИЕ ЗА ПРАВА И СВОБОДИ“  в </w:t>
      </w:r>
      <w:r w:rsidRPr="00107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107203" w:rsidRPr="00107203" w:rsidRDefault="00107203" w:rsidP="001072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0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Pr="009F572A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6F3896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6F3896" w:rsidRDefault="006F3896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34930" w:rsidRPr="00D34930" w:rsidRDefault="009C2248" w:rsidP="00D3493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D34930" w:rsidRPr="00D3493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ПП „ДВИЖЕНИЕ ЗА ПРАВА И СВОБОДИ“ в </w:t>
      </w:r>
      <w:r w:rsidR="00D34930" w:rsidRPr="00D34930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34930" w:rsidRPr="00D34930" w:rsidRDefault="00D34930" w:rsidP="00D3493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34930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D34930" w:rsidRPr="00D34930" w:rsidRDefault="00D34930" w:rsidP="00D34930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34930">
        <w:rPr>
          <w:rFonts w:ascii="Times New Roman" w:hAnsi="Times New Roman"/>
          <w:b/>
          <w:sz w:val="28"/>
          <w:szCs w:val="28"/>
          <w:lang w:val="bg-BG"/>
        </w:rPr>
        <w:t>№ 142 – НС</w:t>
      </w:r>
    </w:p>
    <w:p w:rsidR="00D34930" w:rsidRPr="00D34930" w:rsidRDefault="00D34930" w:rsidP="00D3493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34930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07.06.2024 г.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34930" w:rsidRPr="00D34930" w:rsidRDefault="00D34930" w:rsidP="00D3493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D34930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№92-НС)  за регистрация на застъпници на кандидатска листа на ПП „ДВИЖЕНИЕ ЗА ПРАВА И СВОБОДИ“ в </w:t>
      </w:r>
      <w:r w:rsidRPr="00D349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изборите за народни представители на 9 юни 2024 г. </w:t>
      </w: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>за област Стара Загора. Към заявлението са приложени Декларации (Приложение №97-ЕП/НС) – 121 бр., от лицата, заявени за регистрация като застъпници в изборите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121 (сто двадесет и един) бр.  застъпници на кандидатска листа на ПП „ДВИЖЕНИЕ ЗА ПРАВА И СВОБОДИ“  в </w:t>
      </w:r>
      <w:r w:rsidRPr="00D349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народни представители на 9 юни 2024 г.</w:t>
      </w: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4930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4738F" w:rsidRDefault="009C2248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4738F" w:rsidRPr="0069431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Междну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Кордов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94738F" w:rsidRPr="0069431A">
        <w:rPr>
          <w:rFonts w:ascii="Times New Roman" w:hAnsi="Times New Roman"/>
          <w:sz w:val="24"/>
          <w:szCs w:val="24"/>
        </w:rPr>
        <w:t>Байрамов</w:t>
      </w:r>
      <w:proofErr w:type="spellEnd"/>
      <w:r w:rsidR="0094738F" w:rsidRPr="0069431A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513595" w:rsidRDefault="00513595" w:rsidP="0051359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34930" w:rsidRDefault="00D34930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C2248" w:rsidRPr="00513595" w:rsidRDefault="009C2248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3912D8" w:rsidRDefault="003912D8" w:rsidP="003912D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</w:p>
    <w:p w:rsidR="009C2248" w:rsidRDefault="009C2248" w:rsidP="0011503F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„Колеги, 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мате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352DF7" w:rsidRPr="00352DF7" w:rsidRDefault="00352DF7" w:rsidP="00352DF7">
      <w:pPr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 xml:space="preserve"> СЕКРЕТАР:          </w:t>
      </w: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</w:t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/ </w:t>
      </w:r>
      <w:proofErr w:type="spellStart"/>
      <w:r w:rsidRPr="00352DF7">
        <w:rPr>
          <w:rFonts w:ascii="Times New Roman" w:hAnsi="Times New Roman" w:cs="Times New Roman"/>
          <w:sz w:val="24"/>
          <w:szCs w:val="24"/>
          <w:lang w:val="bg-BG"/>
        </w:rPr>
        <w:t>Междну</w:t>
      </w:r>
      <w:proofErr w:type="spellEnd"/>
      <w:r w:rsidRPr="00352DF7">
        <w:rPr>
          <w:rFonts w:ascii="Times New Roman" w:hAnsi="Times New Roman" w:cs="Times New Roman"/>
          <w:sz w:val="24"/>
          <w:szCs w:val="24"/>
          <w:lang w:val="bg-BG"/>
        </w:rPr>
        <w:t xml:space="preserve"> Халид 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513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22" w:rsidRDefault="00D50622" w:rsidP="00E46452">
      <w:pPr>
        <w:spacing w:line="240" w:lineRule="auto"/>
      </w:pPr>
      <w:r>
        <w:separator/>
      </w:r>
    </w:p>
  </w:endnote>
  <w:endnote w:type="continuationSeparator" w:id="0">
    <w:p w:rsidR="00D50622" w:rsidRDefault="00D50622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3875">
      <w:rPr>
        <w:noProof/>
      </w:rPr>
      <w:t>9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22" w:rsidRDefault="00D50622" w:rsidP="00E46452">
      <w:pPr>
        <w:spacing w:line="240" w:lineRule="auto"/>
      </w:pPr>
      <w:r>
        <w:separator/>
      </w:r>
    </w:p>
  </w:footnote>
  <w:footnote w:type="continuationSeparator" w:id="0">
    <w:p w:rsidR="00D50622" w:rsidRDefault="00D50622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6C4A"/>
    <w:multiLevelType w:val="hybridMultilevel"/>
    <w:tmpl w:val="8306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256D"/>
    <w:multiLevelType w:val="hybridMultilevel"/>
    <w:tmpl w:val="F7C00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5"/>
  </w:num>
  <w:num w:numId="5">
    <w:abstractNumId w:val="26"/>
  </w:num>
  <w:num w:numId="6">
    <w:abstractNumId w:val="31"/>
  </w:num>
  <w:num w:numId="7">
    <w:abstractNumId w:val="21"/>
  </w:num>
  <w:num w:numId="8">
    <w:abstractNumId w:val="9"/>
  </w:num>
  <w:num w:numId="9">
    <w:abstractNumId w:val="27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32"/>
  </w:num>
  <w:num w:numId="15">
    <w:abstractNumId w:val="33"/>
  </w:num>
  <w:num w:numId="16">
    <w:abstractNumId w:val="19"/>
  </w:num>
  <w:num w:numId="17">
    <w:abstractNumId w:val="29"/>
  </w:num>
  <w:num w:numId="18">
    <w:abstractNumId w:val="4"/>
  </w:num>
  <w:num w:numId="19">
    <w:abstractNumId w:val="18"/>
  </w:num>
  <w:num w:numId="20">
    <w:abstractNumId w:val="11"/>
  </w:num>
  <w:num w:numId="21">
    <w:abstractNumId w:val="22"/>
  </w:num>
  <w:num w:numId="22">
    <w:abstractNumId w:val="7"/>
  </w:num>
  <w:num w:numId="23">
    <w:abstractNumId w:val="14"/>
  </w:num>
  <w:num w:numId="24">
    <w:abstractNumId w:val="16"/>
  </w:num>
  <w:num w:numId="25">
    <w:abstractNumId w:val="12"/>
  </w:num>
  <w:num w:numId="26">
    <w:abstractNumId w:val="3"/>
  </w:num>
  <w:num w:numId="27">
    <w:abstractNumId w:val="23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"/>
  </w:num>
  <w:num w:numId="32">
    <w:abstractNumId w:val="30"/>
  </w:num>
  <w:num w:numId="33">
    <w:abstractNumId w:val="25"/>
  </w:num>
  <w:num w:numId="34">
    <w:abstractNumId w:val="28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13875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07203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4D53"/>
    <w:rsid w:val="002B52C4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1DF2"/>
    <w:rsid w:val="00383336"/>
    <w:rsid w:val="003855FE"/>
    <w:rsid w:val="0038639F"/>
    <w:rsid w:val="003912D8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C3DBC"/>
    <w:rsid w:val="005C5A0F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1A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3EF6"/>
    <w:rsid w:val="006D48E8"/>
    <w:rsid w:val="006F096F"/>
    <w:rsid w:val="006F2765"/>
    <w:rsid w:val="006F3896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435C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C67"/>
    <w:rsid w:val="009374F2"/>
    <w:rsid w:val="00940DFA"/>
    <w:rsid w:val="00941101"/>
    <w:rsid w:val="0094738F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657F8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4930"/>
    <w:rsid w:val="00D35389"/>
    <w:rsid w:val="00D4266D"/>
    <w:rsid w:val="00D50622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4839"/>
    <w:rsid w:val="00E6747D"/>
    <w:rsid w:val="00E67992"/>
    <w:rsid w:val="00E679B0"/>
    <w:rsid w:val="00E67A90"/>
    <w:rsid w:val="00E824CA"/>
    <w:rsid w:val="00E92461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F2D09"/>
    <w:rsid w:val="00EF3758"/>
    <w:rsid w:val="00EF5F2C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311C-CB8B-47B1-8903-278AE4A9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2725</Words>
  <Characters>15538</Characters>
  <Application>Microsoft Office Word</Application>
  <DocSecurity>0</DocSecurity>
  <Lines>129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41</cp:revision>
  <cp:lastPrinted>2024-06-03T11:10:00Z</cp:lastPrinted>
  <dcterms:created xsi:type="dcterms:W3CDTF">2024-06-03T08:36:00Z</dcterms:created>
  <dcterms:modified xsi:type="dcterms:W3CDTF">2024-06-07T14:39:00Z</dcterms:modified>
</cp:coreProperties>
</file>